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CC" w:rsidRPr="00AB0BCC" w:rsidRDefault="00AB0BCC" w:rsidP="00AB0BC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OGŁOSZENIE</w:t>
      </w:r>
    </w:p>
    <w:p w:rsidR="00AB0BCC" w:rsidRPr="00AB0BCC" w:rsidRDefault="00AB0BCC" w:rsidP="00AB0BC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Stargardzka Agencja Rozwoju Lokalnego Sp. z o.o.</w:t>
      </w:r>
    </w:p>
    <w:p w:rsidR="00AB0BCC" w:rsidRPr="00AB0BCC" w:rsidRDefault="00AB0BCC" w:rsidP="00AB0BCC">
      <w:pPr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ogłasza I publiczny przetarg pisemny ograniczony na sprzedaż nieruchomości gruntowych położonych w obrębie 23 miasta Stargard</w:t>
      </w:r>
    </w:p>
    <w:p w:rsidR="00AB0BCC" w:rsidRPr="00AB0BCC" w:rsidRDefault="00AB0BCC" w:rsidP="00AB0B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I. Przedmiot przetargu.</w:t>
      </w:r>
    </w:p>
    <w:p w:rsidR="00AB0BCC" w:rsidRPr="00AB0BCC" w:rsidRDefault="00AB0BCC" w:rsidP="00AB0BC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Stargardzka Agencja Rozwoju Lokalnego Sp. z o.o. ogłasza I publiczny przetarg pisemny ograniczony na sprzedaż nieruchomości gruntowych położnych w obrębie 23 miasta Stargard na terenie Parku Przemysłowego Nowoczesnych Technologii o następujących oznaczeniach: 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951"/>
        <w:gridCol w:w="926"/>
        <w:gridCol w:w="641"/>
        <w:gridCol w:w="1211"/>
        <w:gridCol w:w="1582"/>
        <w:gridCol w:w="1227"/>
        <w:gridCol w:w="1141"/>
        <w:gridCol w:w="801"/>
        <w:gridCol w:w="1215"/>
      </w:tblGrid>
      <w:tr w:rsidR="00AB0BCC" w:rsidRPr="00AB0BCC" w:rsidTr="00280491">
        <w:trPr>
          <w:trHeight w:val="61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Powierzchnia</w:t>
            </w:r>
          </w:p>
          <w:p w:rsidR="00AB0BCC" w:rsidRPr="00AB0BCC" w:rsidRDefault="00FF0E08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Nr KW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Przeznaczenie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Cena wywoławcza</w:t>
            </w:r>
          </w:p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Wadium</w:t>
            </w:r>
          </w:p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Godzina części jawnej przetargu </w:t>
            </w:r>
          </w:p>
        </w:tc>
      </w:tr>
      <w:tr w:rsidR="00AB0BCC" w:rsidRPr="00AB0BCC" w:rsidTr="00280491">
        <w:trPr>
          <w:trHeight w:val="28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C" w:rsidRPr="00AB0BCC" w:rsidRDefault="000A65CF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1B5547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96/102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Stargard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1B5547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 przemysłowe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1B5547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365 805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1B5547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CC" w:rsidRPr="00AB0BCC" w:rsidRDefault="00AB0BCC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10.30</w:t>
            </w:r>
          </w:p>
        </w:tc>
      </w:tr>
      <w:tr w:rsidR="00AB0BCC" w:rsidRPr="00AB0BCC" w:rsidTr="00280491">
        <w:trPr>
          <w:trHeight w:val="523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C" w:rsidRPr="00AB0BCC" w:rsidRDefault="000A65CF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1B5547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Stargard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3E317B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0,8541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 przemysłowe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3E317B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469 755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3E317B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CC" w:rsidRPr="00AB0BCC" w:rsidRDefault="004D49A1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.00</w:t>
            </w:r>
          </w:p>
        </w:tc>
      </w:tr>
      <w:tr w:rsidR="00AB0BCC" w:rsidRPr="00AB0BCC" w:rsidTr="00280491">
        <w:trPr>
          <w:trHeight w:val="35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C" w:rsidRPr="00AB0BCC" w:rsidRDefault="000A65CF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3.</w:t>
            </w:r>
            <w:bookmarkStart w:id="0" w:name="_GoBack"/>
            <w:bookmarkEnd w:id="0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B97967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96/104 i 177/7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AB0BCC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B97967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2,7052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B97967" w:rsidP="00666D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1 487 860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CE3E2A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CC" w:rsidRPr="00AB0BCC" w:rsidRDefault="004D49A1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.30</w:t>
            </w:r>
          </w:p>
        </w:tc>
      </w:tr>
    </w:tbl>
    <w:p w:rsidR="00AB0BCC" w:rsidRPr="00AB0BCC" w:rsidRDefault="00AB0BCC" w:rsidP="00AB0BCC">
      <w:pPr>
        <w:numPr>
          <w:ilvl w:val="0"/>
          <w:numId w:val="2"/>
        </w:numPr>
        <w:tabs>
          <w:tab w:val="left" w:pos="567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Zgodnie z art. 43 ust.1 pkt. 9 ustawy z dnia 11 marca 2004 r. o podatku od towarów i usług  (Dz. U. z 2011 r. Nr 177, poz. 1054 ze zm.) sprzedaż zwolniona z podatku VAT.</w:t>
      </w:r>
    </w:p>
    <w:p w:rsidR="00AB0BCC" w:rsidRPr="00AB0BCC" w:rsidRDefault="00AB0BCC" w:rsidP="00AB0BCC">
      <w:pPr>
        <w:numPr>
          <w:ilvl w:val="0"/>
          <w:numId w:val="2"/>
        </w:numPr>
        <w:tabs>
          <w:tab w:val="left" w:pos="567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Zbywca dopuszcza możliwość zmiany ceny nieruchomości, w związku ze zmianą statusu tej nieruchomości przed dniem jej dostawy i niezastosowaniem zwolnienia od opodatkowania podatkiem od towarów i usług na mocy art. 43 ust 1 pkt. 9 ustawy o podatku od towarów i usług. Zmiana statusu nieruchomości niezabudowanej innej niż teren budowlany, na nieruchomość gruntową budowlaną, w wyniku uzyskania decyzji o warunkach zabudowy, wywoła skutek w postaci obowiązku podatkowego w zakresie podatku VAT, a tym samym spowoduje podwyższenie ceny o należny podatek VAT, ustalony według stawki 23 %. </w:t>
      </w: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II. Miejsce i termin składania ofert. Otwarcie ofert – cześć jawna. </w:t>
      </w:r>
    </w:p>
    <w:p w:rsidR="00AB0BCC" w:rsidRPr="00AB0BCC" w:rsidRDefault="00AB0BCC" w:rsidP="00AB0BCC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Oferty pisemne – odrębnie na każdą nieruchomość - należy składać w zaklejonych kopertach z napisem „przetarg – nieruchomość – działki nr …….. (</w:t>
      </w:r>
      <w:r w:rsidRPr="00AB0BCC">
        <w:rPr>
          <w:rFonts w:eastAsia="Times New Roman" w:cstheme="minorHAnsi"/>
          <w:i/>
          <w:sz w:val="24"/>
          <w:szCs w:val="24"/>
          <w:lang w:eastAsia="pl-PL"/>
        </w:rPr>
        <w:t>wpisać numer)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obręb 23 Stargard”, w sekretariacie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Stargardzkiej Agencji Rozwoju Lokalnego Sp. z o.o. </w:t>
      </w:r>
      <w:r w:rsidRPr="00AB0BCC">
        <w:rPr>
          <w:rFonts w:eastAsia="Times New Roman" w:cstheme="minorHAnsi"/>
          <w:sz w:val="24"/>
          <w:szCs w:val="24"/>
          <w:lang w:eastAsia="pl-PL"/>
        </w:rPr>
        <w:t>w Stargardzie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przy ul. Pierwszej Brygady 35  pok. 308 piętro III do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dnia </w:t>
      </w:r>
      <w:r w:rsidR="003521F9" w:rsidRPr="008D1151">
        <w:rPr>
          <w:rFonts w:eastAsia="Times New Roman" w:cstheme="minorHAnsi"/>
          <w:b/>
          <w:sz w:val="24"/>
          <w:szCs w:val="24"/>
          <w:lang w:eastAsia="pl-PL"/>
        </w:rPr>
        <w:t>28</w:t>
      </w:r>
      <w:r w:rsidR="003521F9">
        <w:rPr>
          <w:rFonts w:eastAsia="Times New Roman" w:cstheme="minorHAnsi"/>
          <w:b/>
          <w:sz w:val="24"/>
          <w:szCs w:val="24"/>
          <w:lang w:eastAsia="pl-PL"/>
        </w:rPr>
        <w:t>.11</w:t>
      </w:r>
      <w:r w:rsidR="002A242C">
        <w:rPr>
          <w:rFonts w:eastAsia="Times New Roman" w:cstheme="minorHAnsi"/>
          <w:b/>
          <w:sz w:val="24"/>
          <w:szCs w:val="24"/>
          <w:lang w:eastAsia="pl-PL"/>
        </w:rPr>
        <w:t>.2019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r. do godz. 15:00.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>Oferty należy składać na formularzu ofertowym.</w:t>
      </w:r>
    </w:p>
    <w:p w:rsidR="00AB0BCC" w:rsidRPr="00AB0BCC" w:rsidRDefault="00AB0BCC" w:rsidP="00AB0BCC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Część jawna przetargu odbędzie</w:t>
      </w:r>
      <w:r w:rsidR="002A242C">
        <w:rPr>
          <w:rFonts w:eastAsia="Times New Roman" w:cstheme="minorHAnsi"/>
          <w:sz w:val="24"/>
          <w:szCs w:val="24"/>
          <w:lang w:eastAsia="pl-PL"/>
        </w:rPr>
        <w:t xml:space="preserve"> się w dniu </w:t>
      </w:r>
      <w:r w:rsidR="0070075E">
        <w:rPr>
          <w:rFonts w:eastAsia="Times New Roman" w:cstheme="minorHAnsi"/>
          <w:b/>
          <w:sz w:val="24"/>
          <w:szCs w:val="24"/>
          <w:lang w:eastAsia="pl-PL"/>
        </w:rPr>
        <w:t>29</w:t>
      </w:r>
      <w:r w:rsidR="003521F9">
        <w:rPr>
          <w:rFonts w:eastAsia="Times New Roman" w:cstheme="minorHAnsi"/>
          <w:b/>
          <w:sz w:val="24"/>
          <w:szCs w:val="24"/>
          <w:lang w:eastAsia="pl-PL"/>
        </w:rPr>
        <w:t>.11</w:t>
      </w:r>
      <w:r w:rsidR="002A242C" w:rsidRPr="0060788E">
        <w:rPr>
          <w:rFonts w:eastAsia="Times New Roman" w:cstheme="minorHAnsi"/>
          <w:b/>
          <w:sz w:val="24"/>
          <w:szCs w:val="24"/>
          <w:lang w:eastAsia="pl-PL"/>
        </w:rPr>
        <w:t>.2019</w:t>
      </w:r>
      <w:r w:rsidRPr="0060788E">
        <w:rPr>
          <w:rFonts w:eastAsia="Times New Roman" w:cstheme="minorHAnsi"/>
          <w:b/>
          <w:sz w:val="24"/>
          <w:szCs w:val="24"/>
          <w:lang w:eastAsia="pl-PL"/>
        </w:rPr>
        <w:t>r.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w siedzibie  Stargardzkiej Agencji Rozwoju Lokalnego Sp. z o.o. w Stargardzie przy ul. Pierwszej Brygady 35  pok. 314 piętro III.</w:t>
      </w: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III. Przeznaczenie nieruchomości i sposób jej zagospodarowania</w:t>
      </w:r>
    </w:p>
    <w:p w:rsidR="00AB0BCC" w:rsidRPr="00AB0BCC" w:rsidRDefault="00AB0BCC" w:rsidP="00AB0BCC">
      <w:pPr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Nieruchomość wchodzi w zakres terenów bez obowiązującego planu zagospodarowania przestrzennego i nie jest objęta procedurą planistyczną. Studium nie jest przepisem gminnym, natomiast jego ustalenia są wiążące dla organów gminy przy ustalaniu przyszłego przeznaczenia terenu w planach zagospodarowania przestrzennego.</w:t>
      </w:r>
    </w:p>
    <w:p w:rsidR="00AB0BCC" w:rsidRPr="00AB0BCC" w:rsidRDefault="00AB0BCC" w:rsidP="00AB0BCC">
      <w:pPr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Zgodnie ze „Studium uwarunkowań i kierunków zagospodarowania przestrzennego miasta Stargardu Szczecińskiego” przyjętym przez Radę Miejską w Stargardzie Szczecińskim uchwałą Nr IX/107/2011 z dnia 30.08.2011 r. ze zmianami, przeznaczenie terenów, na których zlokalizowana jest nieruchomość docelowo określono, jako tereny przemysłowe o symbolu PP.18a.2. Tereny przemysłowe służą wyłącznie umieszczaniu zakładów przemysłowych. </w:t>
      </w:r>
    </w:p>
    <w:p w:rsidR="00AB0BCC" w:rsidRPr="00AB0BCC" w:rsidRDefault="00AB0BCC" w:rsidP="00AB0BCC">
      <w:pPr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lastRenderedPageBreak/>
        <w:t>Na budowę obiektów wymagane będzie uzyskanie decyzji o warunkach zabudowy, w której zostaną określone szczegółowe zasady kształtowania zabudowy i zagospodarowania terenu.  Wyposażenie nieruchomości w sieci infrastruktury technicznej odbywać się będzie staraniem i na koszt własny Nabywcy po uzgodnieniu i uzyskaniu warunków technicznych od gestorów poszczególnych sieci.</w:t>
      </w:r>
    </w:p>
    <w:p w:rsidR="00AB0BCC" w:rsidRPr="00AB0BCC" w:rsidRDefault="00AB0BCC" w:rsidP="00AB0BCC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Dostęp do nieruchomości  pośredni z </w:t>
      </w:r>
      <w:r w:rsidR="007007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drogi wewnętrznej </w:t>
      </w:r>
      <w:r w:rsidRPr="00AB0B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ul. </w:t>
      </w:r>
      <w:r w:rsidR="007007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Krzemowej i Tytanowej</w:t>
      </w:r>
      <w:r w:rsidRPr="00AB0B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stanowiących własność Gminy Miasta Stargard.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Nieruchomość położona na terenie byłego lotniska. Sąsiedztwo nieruchomości stanowią nieruchomości niezabudowane i zabudowane przeznaczone pod lokalizacje obiektów produkcyjno-przemysłowych. </w:t>
      </w:r>
    </w:p>
    <w:p w:rsidR="00AB0BCC" w:rsidRPr="00AB0BCC" w:rsidRDefault="00AB0BCC" w:rsidP="00AB0BCC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Nabywca przejmuje  nieruchomość  w stanie  istniejącym.</w:t>
      </w:r>
    </w:p>
    <w:p w:rsidR="00AB0BCC" w:rsidRPr="00AB0BCC" w:rsidRDefault="00AB0BCC" w:rsidP="00AB0BCC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Cena działki nie zawiera kosztów wznowienia znaków granicznych. W przypadku potrzeby okazania granic, nabywca ustali warunki tego okazania z wybranym przez siebie geodetą. Okazanie granic nastąpi na koszt nabywcy nieruchomości.</w:t>
      </w:r>
    </w:p>
    <w:p w:rsidR="00AB0BCC" w:rsidRPr="00AB0BCC" w:rsidRDefault="00AB0BCC" w:rsidP="00AB0BCC">
      <w:pPr>
        <w:spacing w:after="0" w:line="276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B0BCC" w:rsidRPr="00AB0BCC" w:rsidRDefault="00AB0BCC" w:rsidP="00AB0BC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IV. Warunki udziału w postępowaniu 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Zastrzega się, że jest to przetarg pisemny ograniczony do podmiotów posiadających status  mikroprzedsiębiorstw oraz małych i średnich przedsiębiorstw w rozumieniu przepisów ustawy z dnia 6 marca 2018 r. Prawo przedsiębiorców, albowi</w:t>
      </w:r>
      <w:r w:rsidR="00DA6B1E">
        <w:rPr>
          <w:rFonts w:eastAsia="Times New Roman" w:cstheme="minorHAnsi"/>
          <w:bCs/>
          <w:sz w:val="24"/>
          <w:szCs w:val="24"/>
          <w:lang w:eastAsia="pl-PL"/>
        </w:rPr>
        <w:t>em nieruchomoś</w:t>
      </w:r>
      <w:r w:rsidR="008F7075">
        <w:rPr>
          <w:rFonts w:eastAsia="Times New Roman" w:cstheme="minorHAnsi"/>
          <w:bCs/>
          <w:sz w:val="24"/>
          <w:szCs w:val="24"/>
          <w:lang w:eastAsia="pl-PL"/>
        </w:rPr>
        <w:t>ci</w:t>
      </w:r>
      <w:r w:rsidR="00DA6B1E">
        <w:rPr>
          <w:rFonts w:eastAsia="Times New Roman" w:cstheme="minorHAnsi"/>
          <w:bCs/>
          <w:sz w:val="24"/>
          <w:szCs w:val="24"/>
          <w:lang w:eastAsia="pl-PL"/>
        </w:rPr>
        <w:t xml:space="preserve"> zbywan</w:t>
      </w:r>
      <w:r w:rsidR="008F7075">
        <w:rPr>
          <w:rFonts w:eastAsia="Times New Roman" w:cstheme="minorHAnsi"/>
          <w:bCs/>
          <w:sz w:val="24"/>
          <w:szCs w:val="24"/>
          <w:lang w:eastAsia="pl-PL"/>
        </w:rPr>
        <w:t>e zostały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częściowo wyposażona w infrastrukturę drogową techniczną oraz w postaci instalacji </w:t>
      </w:r>
      <w:proofErr w:type="spellStart"/>
      <w:r w:rsidRPr="00AB0BCC">
        <w:rPr>
          <w:rFonts w:eastAsia="Times New Roman" w:cstheme="minorHAnsi"/>
          <w:bCs/>
          <w:sz w:val="24"/>
          <w:szCs w:val="24"/>
          <w:lang w:eastAsia="pl-PL"/>
        </w:rPr>
        <w:t>wodno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– kanalizacyjnej, sanitarne</w:t>
      </w:r>
      <w:r w:rsidR="00F35944">
        <w:rPr>
          <w:rFonts w:eastAsia="Times New Roman" w:cstheme="minorHAnsi"/>
          <w:bCs/>
          <w:sz w:val="24"/>
          <w:szCs w:val="24"/>
          <w:lang w:eastAsia="pl-PL"/>
        </w:rPr>
        <w:t>j oraz deszczowej, która została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sfinansowana ze środków w ramach projektu pn. „Wzmocnienie atrakcyjności inwestycyjnej Województwa Zachodniopomorskiego poprzez kompleksowe przygotowanie terenów Parku Przemysłowego Nowoczesnych Technologii w Stargardzie – etap I” w ramach</w:t>
      </w:r>
      <w:r w:rsidRPr="00AB0BCC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działania 1.11 Tworzenie i rozbudowa infrastruktury na rzecz rozwoju gospodarczego w ramach Strategii ZIT dla Szczecińskiego Obszaru Metropolitalnego.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Za przedsiębiorstwo uważa się „podmiot prowadzący działalność gospodarczą bez względu na jego formę prawną”. O zakwalifikowaniu przedsiębiorstwa do grupy mikro, małych, średnich decydują następujące czynniki: liczba osób zatrudnionych, roczny obrót oraz całkowity bilans roczny. 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Zgodnie z ustawą Prawo przedsiębiorców za: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1) </w:t>
      </w:r>
      <w:proofErr w:type="spellStart"/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mikroprzedsiębiorcę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uważa się - przedsiębiorcę, który w co najmniej jednym roku z dwóch ostatnich lat obrotowych spełniał łącznie następujące warunki: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a) zatrudniał średniorocznie mniej niż 10 pracowników oraz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2)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małego przedsiębiorcę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uważa się - przedsiębiorcę, który w co najmniej jednym roku z dwóch ostatnich lat obrotowych spełniał łącznie następujące warunki: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a) zatrudniał średniorocznie mniej niż 50 pracowników oraz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- i który nie jest </w:t>
      </w:r>
      <w:proofErr w:type="spellStart"/>
      <w:r w:rsidRPr="00AB0BCC">
        <w:rPr>
          <w:rFonts w:eastAsia="Times New Roman" w:cstheme="minorHAnsi"/>
          <w:bCs/>
          <w:sz w:val="24"/>
          <w:szCs w:val="24"/>
          <w:lang w:eastAsia="pl-PL"/>
        </w:rPr>
        <w:t>mikroprzedsiębiorcą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3)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średniego przedsiębiorcę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uważa się - przedsiębiorcę, który w co najmniej jednym roku z dwóch ostatnich lat obrotowych spełniał łącznie następujące warunki: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a) zatrudniał średniorocznie mniej niż 250 pracowników oraz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- i który nie jest </w:t>
      </w:r>
      <w:proofErr w:type="spellStart"/>
      <w:r w:rsidRPr="00AB0BCC">
        <w:rPr>
          <w:rFonts w:eastAsia="Times New Roman" w:cstheme="minorHAnsi"/>
          <w:bCs/>
          <w:sz w:val="24"/>
          <w:szCs w:val="24"/>
          <w:lang w:eastAsia="pl-PL"/>
        </w:rPr>
        <w:t>mikroprzedsiębiorcą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ani małym przedsiębiorcą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Aby ustalić status danego przedsiębiorstwa, należy ustalić dodatkowo czy jest ono przedsiębiorstwem niezależnym, partnerskim czy związanym. W tym celu trzeba ustalić relację związku z innymi przedsiębiorstwami. W zależności od tych relacji należy dodać niektóre lub wszystkie dane przedsiębiorstw będących w związku. 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Przedsiębiorstwo niezależne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jest przedsiębiorstwem w pełni samodzielnym, tj. nie posiada udziałów w innych przedsiębiorstwach, a inne przedsiębiorstwa nie posiadają w nim udziałów;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posiada poniżej 25% kapitału lub głosów (w zależności, która z tych wielkości jest większa) w jednym lub kilku innych przedsiębiorstwach, a/lub inne przedsiębiorstwa posiadają poniżej 25% kapitału lub głosów (w zależności, która z tych wielkości jest większa) w tym przedsiębiorstwie (przedsiębiorstwo może zostać zakwalifikowane jako niezależne jeśli więcej niż 25% kapitału lub głosów jest w posiadaniu poniższych inwestorów: publiczne korporacje inwestycyjne, spółki kapitałowe podwyższonego ryzyka, anioły biznesu, uniwersytety, niedochodowe ośrodki badawcze, inwestorzy instytucjonalni łącznie z regionalnymi funduszami rozwoju, samorządy lokalne z rocznym budżetem nieprzekraczającym 10 milionów euro oraz liczbą mieszkańców poniżej 5000)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Przedsiębiorstwo partnerskie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posiada 25% lub więcej kapitału lub głosów w innym przedsiębiorstwie, a/lub inne przedsiębiorstwo posiada 25% lub więcej kapitału lub głosów w tym przedsiębiorstwie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nie jest związane z innym przedsiębiorstwem (głosy jakie posiada w innym przedsiębiorstwie (lub odwrotnie), nie przekraczają 50% ogólnej sumy głosów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Przedsiębiorstwo związane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Dwa lub więcej przedsiębiorstw można uznać za związane, jeżeli pozostają one ze sobą w następującym związku: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posiada większość głosów przysługujących udziałowcom lub wspólnikom w innym przedsiębiorstwie,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ma prawo wyznaczyć lub odwołać większość członków organu administracyjnego, zarządzającego lub nadzorczego innego przedsiębiorstwa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ma prawo wywierać dominujący wpływ na inne przedsiębiorstwo zgodnie z umową zawartą z tym przedsiębiorstwem lub postanowieniem w jego dokumencie założycielskim lub statucie,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jest w stanie kontrolować samodzielnie, zgodnie z umową, większość głosów udziałowców lub członków w innym przedsiębiorstwie.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Warunkiem przystąpienia do przetargu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, obok posiadania statusu MŚP, jest także wniesienie w</w:t>
      </w:r>
      <w:r w:rsidRPr="00AB0BCC">
        <w:rPr>
          <w:rFonts w:eastAsia="Times New Roman" w:cstheme="minorHAnsi"/>
          <w:sz w:val="24"/>
          <w:szCs w:val="24"/>
          <w:lang w:eastAsia="pl-PL"/>
        </w:rPr>
        <w:t>adium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w wyżej określonej wysokości. Wadium winno  wpłynąć 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na  konto Stargardzkiej Agencji Rozwoju Lokalnego Sp. z o.o. </w:t>
      </w:r>
      <w:r w:rsidR="00583A4C">
        <w:rPr>
          <w:rFonts w:eastAsia="Times New Roman" w:cstheme="minorHAnsi"/>
          <w:bCs/>
          <w:sz w:val="24"/>
          <w:szCs w:val="24"/>
          <w:lang w:eastAsia="pl-PL"/>
        </w:rPr>
        <w:t xml:space="preserve">w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PKO Bank Polski  Nr  6010  20 4867  0000  1102 0050 6329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najpóźniej  w  dniu </w:t>
      </w:r>
      <w:r w:rsidR="004F3107">
        <w:rPr>
          <w:rFonts w:eastAsia="Times New Roman" w:cstheme="minorHAnsi"/>
          <w:b/>
          <w:sz w:val="24"/>
          <w:szCs w:val="24"/>
          <w:lang w:eastAsia="pl-PL"/>
        </w:rPr>
        <w:t>28</w:t>
      </w:r>
      <w:r w:rsidR="001D76F5">
        <w:rPr>
          <w:rFonts w:eastAsia="Times New Roman" w:cstheme="minorHAnsi"/>
          <w:b/>
          <w:sz w:val="24"/>
          <w:szCs w:val="24"/>
          <w:lang w:eastAsia="pl-PL"/>
        </w:rPr>
        <w:t>.11</w:t>
      </w:r>
      <w:r w:rsidR="005C0BAD">
        <w:rPr>
          <w:rFonts w:eastAsia="Times New Roman" w:cstheme="minorHAnsi"/>
          <w:b/>
          <w:sz w:val="24"/>
          <w:szCs w:val="24"/>
          <w:lang w:eastAsia="pl-PL"/>
        </w:rPr>
        <w:t>.2019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r</w:t>
      </w:r>
      <w:r w:rsidRPr="00AB0BCC">
        <w:rPr>
          <w:rFonts w:eastAsia="Times New Roman" w:cstheme="minorHAnsi"/>
          <w:sz w:val="24"/>
          <w:szCs w:val="24"/>
          <w:lang w:eastAsia="pl-PL"/>
        </w:rPr>
        <w:t>.  z dopiskiem w dowodzie wpłaty: „wadium na działkę nr ….. w imieniu i na rzecz…..”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Dopisek winien wskazać nazwę osoby prawnej lub osoby fizycznej będącej uczestnikiem przetargu. Wadium powinno być wniesione w pieniądzu.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Wpłacone wadium przez uczestnika, który wygra przetarg zalicza się na poczet ceny nabycia nieruchomości, pozostałym uczestnikom wpłacone wadium zostanie zwrócone  w terminie 7 dni  od dnia zamknięcia  przetargu z zastrzeżeniem, że dniem zwrotu  wadium  jest dzień obciążenia rachunku bankowego  Stargardzkiej Agencji Rozwoju Lokalnego Sp. z o.o.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Oferty na piśmie należy składać w zaklejonych kopertach, w terminie wskazanym w pkt II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Ogłoszenia, przy czym treść oferty powinna zawierać: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imię, nazwisko i adres oferenta albo nazwę lub firmę, siedzibę i wyciąg z właściwego rejestru,   jeżeli oferentem jest osoba prawna;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datę sporządzenia oferty;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oferowaną cenę nabycia (proponowana cena nabycia nieruchomości musi być wyższa od ceny wywoławczej);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oświadczenie o posiadanym statusie MŚP na dzień składania oferty;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opis zamierzonego przedsięwzięcia o wartości inwestycyjnej nie mniejszej niż 0,5 mln zł;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termin realizacji przedsięwzięcia, przy czym należy wskazać rozpoczęcie prac budowalnych nie wcześniej niż od 1 stycznia 2019 r. i nie mogą zakończyć się później niż do 31 grudnia 2022 r.;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oświadczenie, że oferent akceptuje zobowiązane zawarte w akcie notarialnym – umowę przenoszącej prawo własności działki gruntu – polegające na umownym prawie odkupu działki po cenie nominalnej, o ile na zakupionej nieruchomości w terminie do dnia 31 grudnia 2022 r. nie zostanie zrealizowana i odebrana inwestycja o wartości określonej w punkcie 5.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oświadczenie,  że  oferent  zapoznał  się  z  warunkami  przetargu  i  przyjmuje  te  warunki  bez zastrzeżeń; 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w przypadku gdy oferentem jest jednoosobowy przedsiębiorca/osoba fizyczna pozostająca w związku małżeńskim – oświadczenie współmałżonka wyrażające zgodę na uczestnictwo w przetargu tylko przez jednego z małżonków; 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dowód wniesienia wadium. 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W przypadku inwestora zagranicznego, do dokumentów złożonych w języku obcym, winno być dołączone tłumaczenie w języku polskim, sporządzone przez tłumacza przysięgłego.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Oferta niekompletna zostanie odrzucona.</w:t>
      </w: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IV. Kryterium wyboru oferty.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Kryteriami wybory oferty są: </w:t>
      </w:r>
    </w:p>
    <w:p w:rsidR="00AB0BCC" w:rsidRPr="00AB0BCC" w:rsidRDefault="00AB0BCC" w:rsidP="00AB0BCC">
      <w:pPr>
        <w:numPr>
          <w:ilvl w:val="0"/>
          <w:numId w:val="5"/>
        </w:numPr>
        <w:spacing w:after="0" w:line="240" w:lineRule="auto"/>
        <w:ind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termin realizacji (oddania do użytku – termin mierzony w ilości miesięcy od dnia zawarcia umowy sprzedaży nieruchomości będącej przedmiotem przetargu) zamierzonego przedsięwzięcia - 20 % </w:t>
      </w:r>
    </w:p>
    <w:p w:rsidR="00AB0BCC" w:rsidRPr="00AB0BCC" w:rsidRDefault="00AB0BCC" w:rsidP="00AB0BCC">
      <w:pPr>
        <w:numPr>
          <w:ilvl w:val="0"/>
          <w:numId w:val="5"/>
        </w:numPr>
        <w:spacing w:after="0" w:line="240" w:lineRule="auto"/>
        <w:ind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cena nieruchomości – 80 %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Sprzedający dokona oceny ofert w oparciu o powyższe kryteria.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W przypadku złożenia równorzędnych ofert komisja przetargowa zorganizuje dodatkowy przetarg ustny ograniczony do oferentów, którzy złożyli te oferty.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lastRenderedPageBreak/>
        <w:t xml:space="preserve">Komisja zawiadamia oferentów którzy złożyli oferty uznane za równorzędne o terminie dodatkowego przetargu oraz umożliwia im zapoznanie się z treścią równorzędnych ofert.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W dodatkowym przetargu ustnym ograniczonym oferenci zgłaszają ustnie kolejne postąpienia ceny powyżej najwyższej ceny zamieszczonej w równorzędnych ofertach z tym, że postąpienie nie może wynosić mniej niż 1 % najwyższej ceny zawartej w ofertach. Po trzykrotnym wywołaniu najwyższej ceny, Przewodniczący Komisji zamyka przetarg, a następnie ogłasza imię i nazwisko albo nazwę lub firmę osoby, która przetarg wygrała.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Wyniki przetargu podlegają zatwierdzeniu przez Zarząd</w:t>
      </w:r>
      <w:r w:rsidRPr="00AB0BCC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Pr="00AB0BC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spółki.</w:t>
      </w:r>
      <w:r w:rsidRPr="00AB0BC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Organizator przetargu zawiadomi osobę ustaloną jako nabywcę nieruchomości o miejscu i terminie zawarcia umowy notarialnej. Jeżeli osoba ustalona jako nabywca nieruchomości nie stawi się bez usprawiedliwienia w miejscu i terminie podanym w zawiadomieniu, organizator przetargu odstąpi od zawarcia umowy, a wpłacone wadium nie podlega zwrotowi.</w:t>
      </w:r>
    </w:p>
    <w:p w:rsidR="00AB0BCC" w:rsidRPr="00AB0BCC" w:rsidRDefault="00AB0BCC" w:rsidP="00AB0BCC">
      <w:pPr>
        <w:spacing w:after="0" w:line="240" w:lineRule="auto"/>
        <w:ind w:left="66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B0BCC" w:rsidRPr="00AB0BCC" w:rsidRDefault="00AB0BCC" w:rsidP="00AB0BCC">
      <w:pPr>
        <w:spacing w:after="0" w:line="240" w:lineRule="auto"/>
        <w:ind w:left="6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V. Pozostałe informacje.  </w:t>
      </w:r>
    </w:p>
    <w:p w:rsidR="00AB0BCC" w:rsidRPr="00AB0BCC" w:rsidRDefault="00AB0BCC" w:rsidP="00AB0BCC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Cena  nabycia  nieruchomości  winna  wpłynąć na rachunek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Stargardzkiej Agencji Rozwoju Lokalnego Sp. z o.o.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najpóźniej na trzy dni przed zawarciem notarialnej umowy sprzedaży. </w:t>
      </w:r>
    </w:p>
    <w:p w:rsidR="00AB0BCC" w:rsidRPr="00AB0BCC" w:rsidRDefault="00AB0BCC" w:rsidP="00AB0BCC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Koszty  sporządzenia  umowy  notarialnej, podatków oraz  opłaty  sądowe związane  z  dokonaniem  wpisów w księdze wieczystej ponosi Nabywca.  </w:t>
      </w:r>
    </w:p>
    <w:p w:rsidR="00AB0BCC" w:rsidRPr="00AB0BCC" w:rsidRDefault="00AB0BCC" w:rsidP="00AB0BCC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Organizator przetargu ma prawo odwołania przetargu w przypadku uzasadnionej przyczyny. Unieważnienie przetargu nie daje prawa do naliczania odsetek od wpłaconej kwoty wadium. </w:t>
      </w:r>
    </w:p>
    <w:p w:rsidR="00051F85" w:rsidRDefault="00AB0BCC" w:rsidP="00AB0BC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1F85">
        <w:rPr>
          <w:rFonts w:eastAsia="Times New Roman" w:cstheme="minorHAnsi"/>
          <w:color w:val="000000"/>
          <w:sz w:val="24"/>
          <w:szCs w:val="24"/>
          <w:lang w:eastAsia="pl-PL"/>
        </w:rPr>
        <w:t>Niniejsze ogłoszenie o  przetargu zostało wywieszone w termi</w:t>
      </w:r>
      <w:r w:rsidR="002A1B92">
        <w:rPr>
          <w:rFonts w:eastAsia="Times New Roman" w:cstheme="minorHAnsi"/>
          <w:color w:val="000000"/>
          <w:sz w:val="24"/>
          <w:szCs w:val="24"/>
          <w:lang w:eastAsia="pl-PL"/>
        </w:rPr>
        <w:t>nie</w:t>
      </w:r>
      <w:r w:rsidR="00F010C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 dnia 28.10</w:t>
      </w:r>
      <w:r w:rsidR="004F3107">
        <w:rPr>
          <w:rFonts w:eastAsia="Times New Roman" w:cstheme="minorHAnsi"/>
          <w:color w:val="000000"/>
          <w:sz w:val="24"/>
          <w:szCs w:val="24"/>
          <w:lang w:eastAsia="pl-PL"/>
        </w:rPr>
        <w:t>.2019r. do dnia 29</w:t>
      </w:r>
      <w:r w:rsidR="002A1B92">
        <w:rPr>
          <w:rFonts w:eastAsia="Times New Roman" w:cstheme="minorHAnsi"/>
          <w:color w:val="000000"/>
          <w:sz w:val="24"/>
          <w:szCs w:val="24"/>
          <w:lang w:eastAsia="pl-PL"/>
        </w:rPr>
        <w:t>.11</w:t>
      </w:r>
      <w:r w:rsidR="00EE6DC5" w:rsidRPr="00051F85">
        <w:rPr>
          <w:rFonts w:eastAsia="Times New Roman" w:cstheme="minorHAnsi"/>
          <w:color w:val="000000"/>
          <w:sz w:val="24"/>
          <w:szCs w:val="24"/>
          <w:lang w:eastAsia="pl-PL"/>
        </w:rPr>
        <w:t>.2019</w:t>
      </w:r>
      <w:r w:rsidRPr="00051F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 na  tablicach ogłoszeń  Stargardzkiej Agencji Rozwoju Lokalnego Sp. z o.o. </w:t>
      </w:r>
      <w:r w:rsidRPr="00051F85">
        <w:rPr>
          <w:rFonts w:eastAsia="Times New Roman" w:cstheme="minorHAnsi"/>
          <w:sz w:val="24"/>
          <w:szCs w:val="24"/>
          <w:lang w:eastAsia="pl-PL"/>
        </w:rPr>
        <w:t xml:space="preserve"> oraz zamieszczone  </w:t>
      </w:r>
      <w:r w:rsidR="00051F85" w:rsidRPr="00051F85">
        <w:rPr>
          <w:rFonts w:eastAsia="Times New Roman" w:cstheme="minorHAnsi"/>
          <w:sz w:val="24"/>
          <w:szCs w:val="24"/>
          <w:lang w:eastAsia="pl-PL"/>
        </w:rPr>
        <w:t xml:space="preserve">w Biuletynie Informacji Publicznej na stronie internetowej www.sarl.pl, a także na stronie internetowej  </w:t>
      </w:r>
      <w:hyperlink r:id="rId5" w:history="1">
        <w:r w:rsidR="00051F85" w:rsidRPr="00A80566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http://www.sarl.pl/category/przetargi/</w:t>
        </w:r>
      </w:hyperlink>
      <w:r w:rsidR="00051F85">
        <w:rPr>
          <w:rFonts w:eastAsia="Times New Roman" w:cstheme="minorHAnsi"/>
          <w:sz w:val="24"/>
          <w:szCs w:val="24"/>
          <w:lang w:eastAsia="pl-PL"/>
        </w:rPr>
        <w:t>.</w:t>
      </w:r>
    </w:p>
    <w:p w:rsidR="00AB0BCC" w:rsidRPr="00051F85" w:rsidRDefault="00AB0BCC" w:rsidP="00AB0BC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1F85">
        <w:rPr>
          <w:rFonts w:eastAsia="Times New Roman" w:cstheme="minorHAnsi"/>
          <w:b/>
          <w:sz w:val="24"/>
          <w:szCs w:val="24"/>
          <w:lang w:eastAsia="pl-PL"/>
        </w:rPr>
        <w:t>Dodatkowe informacje można uzyskać</w:t>
      </w:r>
      <w:r w:rsidRPr="00051F85">
        <w:rPr>
          <w:rFonts w:eastAsia="Times New Roman" w:cstheme="minorHAnsi"/>
          <w:sz w:val="24"/>
          <w:szCs w:val="24"/>
          <w:lang w:eastAsia="pl-PL"/>
        </w:rPr>
        <w:t xml:space="preserve"> w Stargardzkiej Agencji Rozwoju Lokalnego przy ul. Pierwszej Brygady 35, Stargard, pok. 308 tel.(91 834-90-88); </w:t>
      </w:r>
    </w:p>
    <w:p w:rsidR="00AB0BCC" w:rsidRPr="00AB0BCC" w:rsidRDefault="00AB0BCC" w:rsidP="00AB0BC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Osoby biorące udział w przetargu powinny zapoznać się ze stanem prawnym oraz faktycznym nieruchomości będących  przedmiotem przetargu. </w:t>
      </w:r>
    </w:p>
    <w:p w:rsidR="00AB0BCC" w:rsidRPr="00AB0BCC" w:rsidRDefault="00AB0BCC" w:rsidP="00AB0BCC">
      <w:pPr>
        <w:tabs>
          <w:tab w:val="left" w:pos="6237"/>
        </w:tabs>
        <w:spacing w:after="200" w:line="276" w:lineRule="auto"/>
        <w:jc w:val="both"/>
        <w:rPr>
          <w:rFonts w:ascii="Calibri" w:eastAsia="Times New Roman" w:hAnsi="Calibri" w:cs="Times New Roman"/>
          <w:color w:val="FF0000"/>
          <w:lang w:eastAsia="pl-PL"/>
        </w:rPr>
      </w:pPr>
    </w:p>
    <w:p w:rsidR="00AB0BCC" w:rsidRPr="00AB0BCC" w:rsidRDefault="00AB0BCC" w:rsidP="00AB0BCC">
      <w:pPr>
        <w:tabs>
          <w:tab w:val="left" w:pos="6237"/>
        </w:tabs>
        <w:spacing w:after="200" w:line="276" w:lineRule="auto"/>
        <w:jc w:val="both"/>
        <w:rPr>
          <w:rFonts w:ascii="Calibri" w:eastAsia="Times New Roman" w:hAnsi="Calibri" w:cs="Times New Roman"/>
          <w:i/>
          <w:color w:val="FF0000"/>
          <w:lang w:eastAsia="pl-PL"/>
        </w:rPr>
      </w:pPr>
      <w:r w:rsidRPr="00AB0BCC">
        <w:rPr>
          <w:rFonts w:ascii="Calibri" w:eastAsia="Times New Roman" w:hAnsi="Calibri" w:cs="Times New Roman"/>
          <w:color w:val="FF0000"/>
          <w:lang w:eastAsia="pl-PL"/>
        </w:rPr>
        <w:t xml:space="preserve">Wyciąg z ogłoszenia zamieszczono w prasie: „ </w:t>
      </w:r>
      <w:r w:rsidR="00DA5E98">
        <w:rPr>
          <w:rFonts w:ascii="Calibri" w:eastAsia="Times New Roman" w:hAnsi="Calibri" w:cs="Times New Roman"/>
          <w:color w:val="FF0000"/>
          <w:lang w:eastAsia="pl-PL"/>
        </w:rPr>
        <w:t>Kuri</w:t>
      </w:r>
      <w:r w:rsidR="006D0126">
        <w:rPr>
          <w:rFonts w:ascii="Calibri" w:eastAsia="Times New Roman" w:hAnsi="Calibri" w:cs="Times New Roman"/>
          <w:color w:val="FF0000"/>
          <w:lang w:eastAsia="pl-PL"/>
        </w:rPr>
        <w:t>er Szczeciński  ”  w  dniu 28.10</w:t>
      </w:r>
      <w:r w:rsidRPr="00AB0BCC">
        <w:rPr>
          <w:rFonts w:ascii="Calibri" w:eastAsia="Times New Roman" w:hAnsi="Calibri" w:cs="Times New Roman"/>
          <w:color w:val="FF0000"/>
          <w:lang w:eastAsia="pl-PL"/>
        </w:rPr>
        <w:t>.201</w:t>
      </w:r>
      <w:r w:rsidR="00C26946">
        <w:rPr>
          <w:rFonts w:ascii="Calibri" w:eastAsia="Times New Roman" w:hAnsi="Calibri" w:cs="Times New Roman"/>
          <w:color w:val="FF0000"/>
          <w:lang w:eastAsia="pl-PL"/>
        </w:rPr>
        <w:t>9</w:t>
      </w:r>
      <w:r w:rsidRPr="00AB0BCC">
        <w:rPr>
          <w:rFonts w:ascii="Calibri" w:eastAsia="Times New Roman" w:hAnsi="Calibri" w:cs="Times New Roman"/>
          <w:color w:val="FF0000"/>
          <w:lang w:eastAsia="pl-PL"/>
        </w:rPr>
        <w:t xml:space="preserve"> r.</w:t>
      </w:r>
    </w:p>
    <w:p w:rsidR="0022387F" w:rsidRDefault="0022387F" w:rsidP="00AB0BCC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22387F" w:rsidRDefault="0022387F" w:rsidP="00AB0BCC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22387F" w:rsidRDefault="0022387F" w:rsidP="00AB0BCC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22387F" w:rsidRDefault="0022387F" w:rsidP="00AB0BCC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22387F" w:rsidRDefault="0022387F" w:rsidP="00AB0BCC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22387F" w:rsidRDefault="0022387F" w:rsidP="00AB0BCC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22387F" w:rsidRDefault="0022387F" w:rsidP="00AB0BCC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22387F" w:rsidRDefault="0022387F" w:rsidP="00AB0BCC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22387F" w:rsidRDefault="0022387F" w:rsidP="00AB0BCC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22387F" w:rsidRDefault="0022387F" w:rsidP="00AB0BCC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22387F" w:rsidRDefault="0022387F" w:rsidP="00AB0BCC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AB0BCC" w:rsidRDefault="00AB0BCC" w:rsidP="00AB0BCC">
      <w:pPr>
        <w:spacing w:after="200" w:line="276" w:lineRule="auto"/>
        <w:rPr>
          <w:rFonts w:eastAsia="Times New Roman" w:cstheme="minorHAnsi"/>
          <w:noProof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MAPA TERENÓW</w:t>
      </w:r>
    </w:p>
    <w:p w:rsidR="0022387F" w:rsidRPr="00AB0BCC" w:rsidRDefault="00CE23B9" w:rsidP="00AB0BCC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6192520" cy="41738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pka 2019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17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251" w:rsidRDefault="00F41251"/>
    <w:sectPr w:rsidR="00F41251" w:rsidSect="009C6BD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D4FAB"/>
    <w:multiLevelType w:val="hybridMultilevel"/>
    <w:tmpl w:val="52C6F62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3D505D0A"/>
    <w:multiLevelType w:val="hybridMultilevel"/>
    <w:tmpl w:val="E004AAE6"/>
    <w:lvl w:ilvl="0" w:tplc="51D4873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7A72788"/>
    <w:multiLevelType w:val="hybridMultilevel"/>
    <w:tmpl w:val="B9E2B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3344C3"/>
    <w:multiLevelType w:val="hybridMultilevel"/>
    <w:tmpl w:val="0F4297D0"/>
    <w:lvl w:ilvl="0" w:tplc="D6F89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313DDB"/>
    <w:multiLevelType w:val="hybridMultilevel"/>
    <w:tmpl w:val="BA84F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71178C"/>
    <w:multiLevelType w:val="hybridMultilevel"/>
    <w:tmpl w:val="3A624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CC"/>
    <w:rsid w:val="00051F85"/>
    <w:rsid w:val="000A65CF"/>
    <w:rsid w:val="001B5547"/>
    <w:rsid w:val="001D76F5"/>
    <w:rsid w:val="002165C3"/>
    <w:rsid w:val="0022387F"/>
    <w:rsid w:val="002A1B92"/>
    <w:rsid w:val="002A242C"/>
    <w:rsid w:val="003521F9"/>
    <w:rsid w:val="003E317B"/>
    <w:rsid w:val="00460991"/>
    <w:rsid w:val="00497600"/>
    <w:rsid w:val="004D49A1"/>
    <w:rsid w:val="004F3107"/>
    <w:rsid w:val="00511D51"/>
    <w:rsid w:val="00583A4C"/>
    <w:rsid w:val="005B6DEA"/>
    <w:rsid w:val="005C0BAD"/>
    <w:rsid w:val="0060788E"/>
    <w:rsid w:val="00666D76"/>
    <w:rsid w:val="006D0126"/>
    <w:rsid w:val="006D1ADE"/>
    <w:rsid w:val="0070075E"/>
    <w:rsid w:val="008D1151"/>
    <w:rsid w:val="008F7075"/>
    <w:rsid w:val="00951710"/>
    <w:rsid w:val="00A141D1"/>
    <w:rsid w:val="00AB0BCC"/>
    <w:rsid w:val="00B963AA"/>
    <w:rsid w:val="00B97967"/>
    <w:rsid w:val="00C26946"/>
    <w:rsid w:val="00CE23B9"/>
    <w:rsid w:val="00CE3E2A"/>
    <w:rsid w:val="00DA5E98"/>
    <w:rsid w:val="00DA6B1E"/>
    <w:rsid w:val="00EE6DC5"/>
    <w:rsid w:val="00F010CD"/>
    <w:rsid w:val="00F35944"/>
    <w:rsid w:val="00F41251"/>
    <w:rsid w:val="00FB2AF8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93768-9AC5-46F7-B4D2-CF58A8C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1F8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sarl.pl/category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2077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25</cp:revision>
  <cp:lastPrinted>2019-10-23T09:56:00Z</cp:lastPrinted>
  <dcterms:created xsi:type="dcterms:W3CDTF">2019-10-21T10:39:00Z</dcterms:created>
  <dcterms:modified xsi:type="dcterms:W3CDTF">2019-10-28T07:08:00Z</dcterms:modified>
</cp:coreProperties>
</file>